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AA2D05" w:rsidRDefault="00AA2D05" w:rsidP="004B6B72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Настоящим «</w:t>
      </w:r>
      <w:r w:rsidR="00BC4CC4">
        <w:t>……………….</w:t>
      </w:r>
      <w:r w:rsidRPr="0040760B">
        <w:t>» (далее – «</w:t>
      </w:r>
      <w:r w:rsidR="00DE1E61">
        <w:t>Заявитель</w:t>
      </w:r>
      <w:r w:rsidRPr="0040760B">
        <w:t xml:space="preserve">») компания, учрежденная в соответствии с законодательством Российской Федерации, с местонахождением по адресу: </w:t>
      </w:r>
      <w:r w:rsidR="00D4632E">
        <w:t>………………………………….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</w:t>
      </w:r>
      <w:r w:rsidR="009E1C53">
        <w:t>Заявителя</w:t>
      </w:r>
      <w:r w:rsidRPr="0040760B">
        <w:t xml:space="preserve">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4B6B72">
        <w:t>оказание услуг по привлечению Абонентов</w:t>
      </w:r>
      <w:r w:rsidR="00341020">
        <w:t xml:space="preserve"> </w:t>
      </w:r>
      <w:r w:rsidR="004B6B72">
        <w:t xml:space="preserve">к услугам </w:t>
      </w:r>
      <w:r w:rsidR="00D819C3" w:rsidRPr="00DB07B4">
        <w:t>ШПД, IPTV/</w:t>
      </w:r>
      <w:r w:rsidR="00D819C3" w:rsidRPr="00DB07B4">
        <w:rPr>
          <w:lang w:val="en-US"/>
        </w:rPr>
        <w:t>DVB</w:t>
      </w:r>
      <w:r w:rsidR="00D819C3" w:rsidRPr="00DB07B4">
        <w:t>-</w:t>
      </w:r>
      <w:r w:rsidR="00D819C3" w:rsidRPr="00DB07B4">
        <w:rPr>
          <w:lang w:val="en-US"/>
        </w:rPr>
        <w:t>C</w:t>
      </w:r>
      <w:r w:rsidR="00D819C3" w:rsidRPr="00DB07B4">
        <w:t>, ГТС/СТС, пакетным предложениям ШПД+IPTV/DVB-C,</w:t>
      </w:r>
      <w:r w:rsidR="00D819C3" w:rsidRPr="00DB07B4">
        <w:rPr>
          <w:b/>
        </w:rPr>
        <w:t xml:space="preserve"> </w:t>
      </w:r>
      <w:r w:rsidR="00D819C3" w:rsidRPr="00DB07B4">
        <w:t>ШПД+IPTV/DVB-C+ГТС/СТС, ШПД+СПС, ШПД+IPTV/DVB-C+СПС, ШПД+IPTV/DVB-C+ГТС/СТС+СПС, ШПД+ВН, ШПД+IPTV/DVB-C+ВН, ШПД+IPTV/DVB-C+ГТС/СТС+ВН</w:t>
      </w:r>
      <w:r w:rsidR="00D819C3">
        <w:t xml:space="preserve">, </w:t>
      </w:r>
      <w:r w:rsidR="00D819C3" w:rsidRPr="00DB07B4">
        <w:t xml:space="preserve">ШПД+IPTV/DVB-C+СПС+ВН, ШПД+IPTV/DVB-C+ГТС/СТС+СПС+ВН и/или единовременной продаже оборудования </w:t>
      </w:r>
      <w:r w:rsidR="00D819C3" w:rsidRPr="00885D35">
        <w:t>ПАО "Ростелеком на территор</w:t>
      </w:r>
      <w:r w:rsidR="00990D43">
        <w:t>ии</w:t>
      </w:r>
    </w:p>
    <w:p w:rsidR="00990D43" w:rsidRDefault="00990D43" w:rsidP="00990D43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>- территория Региональной дирекции «Сибирь» (РД «Сибирь»): город Новосибирск и Новосибирская область, Алтайский край, Республика Алтай, Забайкальский край, Иркутская область, Кемеровская область, Красноярский край, Омская область, Республика Бурятия, Республика Тыва, Республика Хакасия, Томская область;</w:t>
      </w:r>
    </w:p>
    <w:p w:rsidR="00990D43" w:rsidRDefault="00990D43" w:rsidP="00990D43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>- территория Региональной дирекции «Дальний Восток» (РД «Дальний Восток»): город Владивосток и Приморский край, Амурская область, Еврейская автономная область, Камчатский край, Магаданская область, Республика Саха (Якутия), Сахалинская область, Хабаровский край, Чукотский автономный округ;</w:t>
      </w:r>
    </w:p>
    <w:p w:rsidR="00990D43" w:rsidRDefault="00990D43" w:rsidP="00990D43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>- территория Региональной дирекции «Урал» (РД «Урал»): Тюменская и Курганская области, Челябинская область, Ханты-Мансийский автономный округ-Югра, Пермский край, город Екатеринбург и Свердловская область, Ямало-Ненецкий автономный округ;</w:t>
      </w:r>
    </w:p>
    <w:p w:rsidR="00990D43" w:rsidRDefault="00990D43" w:rsidP="00990D43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 xml:space="preserve">- территория Региональной дирекции «Юг» (РД «Юг»): Астраханская область, Волгоградская область, Республика Кабардино-Балкария, Краснодарский край и Республика Адыгея, Ростовская область, Республика Северная Осетия-Алания, Республика Калмыкия, Ставропольский край и Карачаево-Черкесская Республика, </w:t>
      </w:r>
      <w:r>
        <w:lastRenderedPageBreak/>
        <w:t>Республика Ингушетия, Республика Дагестан;</w:t>
      </w:r>
    </w:p>
    <w:p w:rsidR="00990D43" w:rsidRDefault="00990D43" w:rsidP="00990D43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>- территория Региональной дирекции «Центр» (московский филиал) (РД «Центр»): город Москва и Московская область;</w:t>
      </w:r>
    </w:p>
    <w:p w:rsidR="00990D43" w:rsidRDefault="00990D43" w:rsidP="00990D43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>- территория Региональной дирекции «Центр» (РД «Центр»): Белгородская, Брянская, Владимирская, Воронежская, Ивановская, Калужская, Костромская, Курская Липецкая, Орловская, Рязанская, Смоленская, Тамбовская, Тверская, Тульская, Ярославская области;</w:t>
      </w:r>
    </w:p>
    <w:p w:rsidR="00990D43" w:rsidRDefault="00990D43" w:rsidP="00990D43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>- территория Региональной дирекции «Волга» (РД «Волга»): город Нижний Новгород и Нижегородская область, Кировская, Оренбургская, Пензенская, Самарская, Саратовская, Ульяновская области, Республики Башкортостан, Марий Эл, Мордовия, Татарстан, Удмуртская и Чувашская Республики;</w:t>
      </w:r>
    </w:p>
    <w:p w:rsidR="00990D43" w:rsidRPr="0040760B" w:rsidRDefault="00990D43" w:rsidP="00990D43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 xml:space="preserve">- территория Региональной дирекции «Северо-Запад» (РД «Северо-Запад») г. Санкт-Петербург и Ленинградская область, Архангельская, Вологодская, Калининградская, Мурманская, Новгородская, Псковская области, Республика Карелия, Республика Коми, Ненецкий автономный округ </w:t>
      </w:r>
      <w:r w:rsidRPr="00885D35">
        <w:t>сегмента B2C</w:t>
      </w:r>
      <w:r w:rsidRPr="0040760B">
        <w:t>,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="00D819C3">
        <w:t>, -</w:t>
      </w:r>
      <w:r w:rsidRPr="0040760B">
        <w:rPr>
          <w:spacing w:val="51"/>
        </w:rPr>
        <w:t xml:space="preserve"> </w:t>
      </w:r>
      <w:r w:rsidR="00FE2D6C">
        <w:rPr>
          <w:spacing w:val="51"/>
        </w:rPr>
        <w:t>6</w:t>
      </w:r>
      <w:r w:rsidRPr="0040760B">
        <w:t>0</w:t>
      </w:r>
      <w:r w:rsidRPr="0040760B">
        <w:rPr>
          <w:spacing w:val="82"/>
        </w:rPr>
        <w:t xml:space="preserve"> </w:t>
      </w:r>
      <w:r w:rsidRPr="0040760B">
        <w:t>(</w:t>
      </w:r>
      <w:r w:rsidR="00FE2D6C">
        <w:t>Шестьдесят</w:t>
      </w:r>
      <w:r w:rsidRPr="0040760B">
        <w:t xml:space="preserve">) </w:t>
      </w:r>
      <w:r w:rsidR="00FE2D6C">
        <w:t xml:space="preserve">рабочих </w:t>
      </w:r>
      <w:r w:rsidRPr="0040760B">
        <w:t>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  <w:bookmarkStart w:id="0" w:name="_GoBack"/>
      <w:bookmarkEnd w:id="0"/>
    </w:p>
    <w:p w:rsidR="00441B31" w:rsidRDefault="00441B31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D50CD8">
        <w:rPr>
          <w:spacing w:val="-1"/>
        </w:rPr>
        <w:t>П</w:t>
      </w:r>
      <w:r w:rsidRPr="00D50CD8">
        <w:t>риложениями</w:t>
      </w:r>
      <w:r w:rsidRPr="00D50CD8">
        <w:rPr>
          <w:spacing w:val="-1"/>
        </w:rPr>
        <w:t xml:space="preserve"> </w:t>
      </w:r>
      <w:r w:rsidRPr="00D50CD8">
        <w:t>к</w:t>
      </w:r>
      <w:r w:rsidRPr="00D50CD8">
        <w:rPr>
          <w:spacing w:val="-2"/>
        </w:rPr>
        <w:t xml:space="preserve"> </w:t>
      </w:r>
      <w:r w:rsidRPr="00D50CD8">
        <w:t>насто</w:t>
      </w:r>
      <w:r w:rsidRPr="00D50CD8">
        <w:rPr>
          <w:spacing w:val="-3"/>
        </w:rPr>
        <w:t>я</w:t>
      </w:r>
      <w:r w:rsidRPr="00D50CD8">
        <w:t>щему</w:t>
      </w:r>
      <w:r w:rsidRPr="00D50CD8">
        <w:rPr>
          <w:spacing w:val="-3"/>
        </w:rPr>
        <w:t xml:space="preserve"> </w:t>
      </w:r>
      <w:r w:rsidRPr="00D50CD8">
        <w:rPr>
          <w:spacing w:val="-1"/>
        </w:rPr>
        <w:t>з</w:t>
      </w:r>
      <w:r w:rsidRPr="00D50CD8">
        <w:t>ая</w:t>
      </w:r>
      <w:r w:rsidRPr="00D50CD8">
        <w:rPr>
          <w:spacing w:val="-1"/>
        </w:rPr>
        <w:t>в</w:t>
      </w:r>
      <w:r w:rsidRPr="00D50CD8">
        <w:t>лению я</w:t>
      </w:r>
      <w:r w:rsidRPr="00D50CD8">
        <w:rPr>
          <w:spacing w:val="-1"/>
        </w:rPr>
        <w:t>в</w:t>
      </w:r>
      <w:r w:rsidRPr="00D50CD8">
        <w:t>ляе</w:t>
      </w:r>
      <w:r w:rsidRPr="00D50CD8">
        <w:rPr>
          <w:spacing w:val="-1"/>
        </w:rPr>
        <w:t>т</w:t>
      </w:r>
      <w:r w:rsidRPr="00D50CD8">
        <w:t>с</w:t>
      </w:r>
      <w:r w:rsidRPr="00D50CD8">
        <w:rPr>
          <w:spacing w:val="-3"/>
        </w:rPr>
        <w:t>я</w:t>
      </w:r>
      <w:r>
        <w:t xml:space="preserve"> документы, в соответствии с п.4.1 стандартных условий:</w:t>
      </w:r>
    </w:p>
    <w:p w:rsidR="00441B31" w:rsidRDefault="00441B31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>1)</w:t>
      </w:r>
    </w:p>
    <w:p w:rsidR="00441B31" w:rsidRDefault="00441B31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>2)</w:t>
      </w:r>
    </w:p>
    <w:p w:rsidR="00441B31" w:rsidRPr="0040760B" w:rsidRDefault="00441B31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>3)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>
        <w:t>«</w:t>
      </w:r>
      <w:r w:rsidR="00BC4CC4">
        <w:t>………</w:t>
      </w:r>
      <w:r>
        <w:t>»</w:t>
      </w:r>
      <w:r w:rsidRPr="0040760B">
        <w:t xml:space="preserve"> в </w:t>
      </w:r>
      <w:r w:rsidR="0062759F" w:rsidRPr="0040760B">
        <w:t>открытой закупк</w:t>
      </w:r>
      <w:r w:rsidR="00EC36B2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Pr="0040760B">
        <w:t xml:space="preserve"> «</w:t>
      </w:r>
      <w:r w:rsidR="00BC4CC4">
        <w:t>…………</w:t>
      </w:r>
      <w:r w:rsidRPr="0040760B">
        <w:t xml:space="preserve">»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«</w:t>
      </w:r>
      <w:r w:rsidR="00D4632E">
        <w:t>………….</w:t>
      </w:r>
      <w:r w:rsidRPr="0040760B">
        <w:t>».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</w:p>
    <w:p w:rsidR="00785E31" w:rsidRPr="0040760B" w:rsidRDefault="00785E31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t>«</w:t>
      </w:r>
      <w:r w:rsidR="00BC4CC4">
        <w:t>…………….</w:t>
      </w:r>
      <w:r w:rsidRPr="0040760B">
        <w:t>»</w:t>
      </w:r>
    </w:p>
    <w:p w:rsidR="0040760B" w:rsidRPr="0040760B" w:rsidRDefault="00BC4CC4" w:rsidP="0040760B">
      <w:r>
        <w:t>…………………..</w:t>
      </w:r>
    </w:p>
    <w:p w:rsidR="0040760B" w:rsidRPr="0040760B" w:rsidRDefault="0040760B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A47" w:rsidRDefault="00A24A47" w:rsidP="00AA2D05">
      <w:r>
        <w:separator/>
      </w:r>
    </w:p>
  </w:endnote>
  <w:endnote w:type="continuationSeparator" w:id="0">
    <w:p w:rsidR="00A24A47" w:rsidRDefault="00A24A47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A47" w:rsidRDefault="00A24A47" w:rsidP="00AA2D05">
      <w:r>
        <w:separator/>
      </w:r>
    </w:p>
  </w:footnote>
  <w:footnote w:type="continuationSeparator" w:id="0">
    <w:p w:rsidR="00A24A47" w:rsidRDefault="00A24A47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05"/>
    <w:rsid w:val="000454C6"/>
    <w:rsid w:val="0005412C"/>
    <w:rsid w:val="00210282"/>
    <w:rsid w:val="002179D0"/>
    <w:rsid w:val="00234B2C"/>
    <w:rsid w:val="002725C3"/>
    <w:rsid w:val="002D55A2"/>
    <w:rsid w:val="00341020"/>
    <w:rsid w:val="00401C15"/>
    <w:rsid w:val="0040760B"/>
    <w:rsid w:val="00441B31"/>
    <w:rsid w:val="004B6B72"/>
    <w:rsid w:val="004D51D2"/>
    <w:rsid w:val="0050170D"/>
    <w:rsid w:val="00513C2E"/>
    <w:rsid w:val="0062759F"/>
    <w:rsid w:val="006B2812"/>
    <w:rsid w:val="007769B5"/>
    <w:rsid w:val="00785E31"/>
    <w:rsid w:val="008A36E0"/>
    <w:rsid w:val="00990D43"/>
    <w:rsid w:val="009C3BB3"/>
    <w:rsid w:val="009E1C53"/>
    <w:rsid w:val="00A24A47"/>
    <w:rsid w:val="00A6476D"/>
    <w:rsid w:val="00AA2D05"/>
    <w:rsid w:val="00B059F2"/>
    <w:rsid w:val="00B1318A"/>
    <w:rsid w:val="00BC4CC4"/>
    <w:rsid w:val="00CE45E0"/>
    <w:rsid w:val="00CF6771"/>
    <w:rsid w:val="00D03B41"/>
    <w:rsid w:val="00D4632E"/>
    <w:rsid w:val="00D819C3"/>
    <w:rsid w:val="00D90B4C"/>
    <w:rsid w:val="00D96BE2"/>
    <w:rsid w:val="00DA6B82"/>
    <w:rsid w:val="00DD15EF"/>
    <w:rsid w:val="00DD4DE5"/>
    <w:rsid w:val="00DE1E61"/>
    <w:rsid w:val="00E232AD"/>
    <w:rsid w:val="00E24A58"/>
    <w:rsid w:val="00E85C5D"/>
    <w:rsid w:val="00EC36B2"/>
    <w:rsid w:val="00EC4022"/>
    <w:rsid w:val="00EC51E1"/>
    <w:rsid w:val="00FD27D3"/>
    <w:rsid w:val="00FE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2070"/>
  <w15:docId w15:val="{776B9045-3ABD-4141-9529-0A383EB5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Габдульбаров Роман Эдуардович</cp:lastModifiedBy>
  <cp:revision>12</cp:revision>
  <dcterms:created xsi:type="dcterms:W3CDTF">2020-04-21T09:47:00Z</dcterms:created>
  <dcterms:modified xsi:type="dcterms:W3CDTF">2024-05-20T12:39:00Z</dcterms:modified>
</cp:coreProperties>
</file>